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114C15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змін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A1142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F71B78" w:rsidRDefault="00F71B78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  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9A21C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proofErr w:type="gram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094B8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8841,1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грн.,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251FA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26509,4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9A21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2023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5386,2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нового пакету «Супровід і лікування дорослих та дітей з психічними розладами на первинному рівні медичної допомоги»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дохі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дна частина на 2023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рік </w:t>
      </w:r>
      <w:r w:rsidR="00251FA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прогнозовано буде  становити  1123,2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15A6C" w:rsidRPr="00FD281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</w:t>
      </w:r>
      <w:r w:rsidR="00BB3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розвитку та фінансової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підтримки»</w:t>
      </w:r>
      <w:r w:rsidR="00FD281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8406</w:t>
      </w:r>
      <w:r w:rsidR="00153F0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,5</w:t>
      </w:r>
      <w:r w:rsidR="00114C15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</w:t>
      </w:r>
      <w:r w:rsidR="007D522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3432E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грн.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Згідно 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 xml:space="preserve">Програми 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>розвитку та фінансової підтримки комунального некомерційного пі</w:t>
      </w:r>
      <w:r w:rsidR="00C77461">
        <w:rPr>
          <w:rFonts w:ascii="Times New Roman" w:hAnsi="Times New Roman"/>
          <w:bCs/>
          <w:color w:val="000000"/>
          <w:sz w:val="28"/>
          <w:szCs w:val="28"/>
          <w:lang w:val="uk-UA"/>
        </w:rPr>
        <w:t>дприємства «Городоцький</w:t>
      </w:r>
      <w:r w:rsidR="003432EB" w:rsidRPr="003432E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центр первинної медико-санітарної допомоги» Городоцької міської ради Львівської області на 2021-2024 рр.</w:t>
      </w:r>
      <w:r w:rsidR="003432EB" w:rsidRPr="003432EB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3432E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(змен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шен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ня відбулось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суму 96,0</w:t>
      </w:r>
      <w:r w:rsidR="001806F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114C1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згідно рішення сесії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№23/37-6443 від 19.</w:t>
      </w:r>
      <w:r w:rsidR="00FD2812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>10</w:t>
      </w:r>
      <w:r w:rsidR="00D9271F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>.2023</w:t>
      </w:r>
      <w:r w:rsidR="00FD2812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="001C63EA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2023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9A21CC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2400,0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34,8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B06434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 w:rsid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2023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AC2FAC" w:rsidRPr="00FD2812" w:rsidRDefault="00C2459F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501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з місцевого бюджету цільового фінансування по капітальних видатках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D281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170,8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</w:t>
      </w:r>
      <w:r w:rsidR="00FD2812" w:rsidRP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відбулось на суму 96,0тис. грн згідно рішення сесії Городоцької міської ради №23/37-6443 від 19.</w:t>
      </w:r>
      <w:r w:rsidR="00FD2812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10.2023) 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AF756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2023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AF756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1249,6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  <w:r w:rsidR="006D71C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</w:p>
    <w:p w:rsidR="006D71C0" w:rsidRPr="00054ACC" w:rsidRDefault="006D71C0" w:rsidP="006D71C0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збільшення на суму 11,9 тис грн відбулося згідно договору № 24/10</w:t>
      </w:r>
      <w:r w:rsidR="00DC51DB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/2022-</w:t>
      </w:r>
      <w:r w:rsidR="00EA79AB"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38 від 24.10.2022р (благодійна пожертва)</w:t>
      </w:r>
      <w:r w:rsidRPr="00054ACC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</w:t>
      </w:r>
    </w:p>
    <w:p w:rsidR="00AF756B" w:rsidRDefault="006B0152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AF756B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2022</w:t>
      </w:r>
      <w:r w:rsidR="00D153DF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AF756B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1177,7</w:t>
      </w:r>
      <w:r w:rsidR="0006312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AF756B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900,9</w:t>
      </w:r>
      <w:r w:rsidR="00C77E4F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по пакету «Первинна медична допомога»;</w:t>
      </w:r>
      <w:r w:rsidR="0078334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6B0152" w:rsidRPr="00AF756B" w:rsidRDefault="00AA74A5" w:rsidP="00CD072A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залишок коштів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від продажу автомобіля </w:t>
      </w:r>
      <w:r w:rsidR="00AA1836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6B0152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 w:rsidRPr="00AF756B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AA74A5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від наданих послуг 76,9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B06434" w:rsidRDefault="00C72560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залишок коштів з</w:t>
      </w:r>
      <w:r w:rsidR="00AA74A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ремонту автомобіля 146,9 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тис. грн.</w:t>
      </w:r>
    </w:p>
    <w:p w:rsidR="002A54A1" w:rsidRPr="00C2459F" w:rsidRDefault="00213C9C" w:rsidP="00C2459F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і згідно договору від 09.02.2023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р. благодійного гранту на реалізацію </w:t>
      </w:r>
      <w:proofErr w:type="spellStart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проєкту</w:t>
      </w:r>
      <w:proofErr w:type="spellEnd"/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en-US"/>
        </w:rPr>
        <w:t>UNICEF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«Посилення реагування на надзвичайні ситуації шляхом розбудови потенціалу національ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них органів влади, місцевих гром</w:t>
      </w:r>
      <w:r w:rsidRPr="00CD3B8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ад, організацій громадянського суспільства та медичних працівників»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60,0 тис. грн.</w:t>
      </w:r>
    </w:p>
    <w:p w:rsidR="00615A6C" w:rsidRPr="009674F4" w:rsidRDefault="00E5601E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</w:t>
      </w:r>
      <w:proofErr w:type="gram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</w:t>
      </w:r>
      <w:proofErr w:type="gram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» на 202</w:t>
      </w:r>
      <w:r w:rsidR="00AA74A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6B37B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B23B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8841,1</w:t>
      </w:r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грн. та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="00615A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D9271F" w:rsidRPr="00D9271F" w:rsidRDefault="00615A6C" w:rsidP="00D9271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4446,6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DC51D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(з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більшення відбулося на суму 210,2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</w:t>
      </w:r>
      <w:r w:rsidR="00AC2F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грн. згідно рішення сесії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Городоцької міської ради від 19.10</w:t>
      </w:r>
      <w:r w:rsidR="00054AC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.2023 №</w:t>
      </w:r>
      <w:r w:rsidR="00FD281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23/37-6432</w:t>
      </w:r>
      <w:r w:rsidR="00D9271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та</w:t>
      </w:r>
      <w:r w:rsidR="00D9271F"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листа № </w:t>
      </w:r>
      <w:r w:rsidR="00664529">
        <w:rPr>
          <w:rFonts w:ascii="Times New Roman" w:eastAsia="Times New Roman" w:hAnsi="Times New Roman" w:cs="Times New Roman"/>
          <w:sz w:val="28"/>
          <w:szCs w:val="28"/>
          <w:lang w:val="uk-UA"/>
        </w:rPr>
        <w:t>343</w:t>
      </w:r>
      <w:bookmarkStart w:id="0" w:name="_GoBack"/>
      <w:bookmarkEnd w:id="0"/>
      <w:r w:rsid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D9271F" w:rsidRPr="00D9271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>20.10.2023.</w:t>
      </w:r>
    </w:p>
    <w:p w:rsidR="00615A6C" w:rsidRPr="00DC69C5" w:rsidRDefault="00615A6C" w:rsidP="00732713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BB7406" w:rsidRPr="00FD2812" w:rsidRDefault="00615A6C" w:rsidP="00BB7406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lastRenderedPageBreak/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2067,4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BB7406"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(зменшення відбулось на суму 306,2 тис. грн згідно рішення сесії Городоцької міської ради №23/37-6443 від 19.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>10.2023</w:t>
      </w:r>
      <w:r w:rsidR="00BB74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№23/37 – 6432 від 19.10.2023 та листа № 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>343</w:t>
      </w:r>
      <w:r w:rsidR="00BB74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20.10.2023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тому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AA74A5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  <w:r w:rsidR="003D4A4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7,6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AA74A5" w:rsidRPr="00BB7406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1265,8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413710" w:rsidRPr="0041371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(зменшення відбулось на суму 306,2 тис. грн згідно рішення сесії Городоцької міської ради №23/37-6443 від 19.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>10.2023</w:t>
      </w:r>
      <w:r w:rsidR="00BB74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№23/37 – 6432 від 19.10.2023 та листа № 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>343</w:t>
      </w:r>
      <w:r w:rsidR="00BB740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</w:t>
      </w:r>
      <w:r w:rsidR="005916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20.10.2023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</w:t>
      </w:r>
      <w:r w:rsidR="00F43A87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викачку нечистот та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тис. грн.;</w:t>
      </w:r>
    </w:p>
    <w:p w:rsidR="00AA74A5" w:rsidRPr="00B0214F" w:rsidRDefault="00CF1D60" w:rsidP="00B0214F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B0214F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3975,</w:t>
      </w:r>
      <w:proofErr w:type="gramStart"/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8</w:t>
      </w:r>
      <w:r w:rsidR="004F4BA8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г</w:t>
      </w:r>
      <w:proofErr w:type="spellStart"/>
      <w:r w:rsidR="000004B2" w:rsidRPr="00B0214F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FD289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3068DD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  <w:r w:rsidR="00B0214F" w:rsidRP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7D522D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Відрахування на соціальні заходи</w:t>
      </w:r>
      <w:r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» – 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4866,9</w:t>
      </w:r>
      <w:r w:rsidR="00615A6C" w:rsidRPr="0031077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тис. грн</w:t>
      </w:r>
      <w:r w:rsidR="003068DD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.;</w:t>
      </w:r>
      <w:r w:rsidR="00B021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676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BB7406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AA74A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  <w:r w:rsidR="007030A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BF5ADC" w:rsidRPr="00D9271F" w:rsidRDefault="00615A6C" w:rsidP="00BF5AD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6524,0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 (зменшення відбулось на суму 96,0 тис. грн згідно рішення сесії Городоцької міської ради №23/37-6443 від 19.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10.2023) </w:t>
      </w:r>
    </w:p>
    <w:p w:rsidR="00950AB2" w:rsidRDefault="00615A6C" w:rsidP="00950AB2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proofErr w:type="gramStart"/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23975.</w:t>
      </w:r>
      <w:r w:rsidR="00950AB2" w:rsidRPr="00950AB2"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 грн.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4864,8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F16489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2400,0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грн.;</w:t>
      </w:r>
    </w:p>
    <w:p w:rsidR="00F71B78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950A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681,7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грн.</w:t>
      </w:r>
    </w:p>
    <w:p w:rsidR="00213C9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Капітальні видатки складаються з:</w:t>
      </w:r>
    </w:p>
    <w:p w:rsidR="00FE0B4B" w:rsidRPr="005823AC" w:rsidRDefault="005823A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р</w:t>
      </w:r>
      <w:r w:rsidR="00FE0B4B" w:rsidRPr="005823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ядок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510 </w:t>
      </w:r>
      <w:r w:rsidR="00BB740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«Капітальні інвестиції» 392,7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</w:p>
    <w:p w:rsidR="0058436C" w:rsidRPr="00BB7406" w:rsidRDefault="00615A6C" w:rsidP="0058436C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Рядок 512 Придбання (виготовлення) основних засобів</w:t>
      </w:r>
      <w:r w:rsidR="0058436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</w:t>
      </w:r>
      <w:r w:rsidR="00B46CF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245,8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 w:rsidR="0058436C"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(збільшення відбулось на суму 96,0</w:t>
      </w:r>
      <w:r w:rsidR="001972A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BB740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тис. грн згідно рішення сесії Городоцької міської ради №23/37-6443 від 19.</w:t>
      </w:r>
      <w:r w:rsidR="00BB7406" w:rsidRPr="00FD28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10.2023) </w:t>
      </w:r>
    </w:p>
    <w:p w:rsidR="00E56FBA" w:rsidRDefault="00E56FBA" w:rsidP="00E56FBA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Рядок 516 Капітальний ремонт  </w:t>
      </w:r>
      <w:r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146,9</w:t>
      </w:r>
      <w:r w:rsidR="000C58A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 xml:space="preserve"> тис. грн.</w:t>
      </w:r>
      <w:r>
        <w:rPr>
          <w:rFonts w:ascii="Times New Roman" w:eastAsia="Times New Roman" w:hAnsi="Times New Roman" w:cs="Times New Roman"/>
          <w:b/>
          <w:iCs/>
          <w:color w:val="333333"/>
          <w:sz w:val="28"/>
          <w:szCs w:val="28"/>
          <w:lang w:val="uk-UA"/>
        </w:rPr>
        <w:t xml:space="preserve"> </w:t>
      </w: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КНП «Г</w:t>
      </w: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r w:rsidR="00615A6C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</w:t>
      </w:r>
      <w:r w:rsidR="00E51A14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</w:t>
      </w:r>
      <w:r w:rsidR="00546938" w:rsidRPr="0058436C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 xml:space="preserve">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15A6C"/>
    <w:rsid w:val="000004B2"/>
    <w:rsid w:val="00021F80"/>
    <w:rsid w:val="00054ACC"/>
    <w:rsid w:val="00063126"/>
    <w:rsid w:val="000660A8"/>
    <w:rsid w:val="00091F7B"/>
    <w:rsid w:val="0009352F"/>
    <w:rsid w:val="00094B84"/>
    <w:rsid w:val="000A535B"/>
    <w:rsid w:val="000A59D0"/>
    <w:rsid w:val="000A66BC"/>
    <w:rsid w:val="000B44BE"/>
    <w:rsid w:val="000B603F"/>
    <w:rsid w:val="000B74C5"/>
    <w:rsid w:val="000C58A2"/>
    <w:rsid w:val="000F3946"/>
    <w:rsid w:val="00114C15"/>
    <w:rsid w:val="00133E27"/>
    <w:rsid w:val="00150F82"/>
    <w:rsid w:val="00153F04"/>
    <w:rsid w:val="00172C6E"/>
    <w:rsid w:val="001806FB"/>
    <w:rsid w:val="001833F5"/>
    <w:rsid w:val="001972A1"/>
    <w:rsid w:val="001B1937"/>
    <w:rsid w:val="001C63EA"/>
    <w:rsid w:val="001E5746"/>
    <w:rsid w:val="00213C9C"/>
    <w:rsid w:val="00251FAA"/>
    <w:rsid w:val="0026638B"/>
    <w:rsid w:val="00267801"/>
    <w:rsid w:val="00274307"/>
    <w:rsid w:val="0028700B"/>
    <w:rsid w:val="00294790"/>
    <w:rsid w:val="00296068"/>
    <w:rsid w:val="002A54A1"/>
    <w:rsid w:val="00304195"/>
    <w:rsid w:val="003068DD"/>
    <w:rsid w:val="00310772"/>
    <w:rsid w:val="00324670"/>
    <w:rsid w:val="003265AB"/>
    <w:rsid w:val="003432EB"/>
    <w:rsid w:val="00356E1B"/>
    <w:rsid w:val="00362B76"/>
    <w:rsid w:val="003A58F5"/>
    <w:rsid w:val="003B0755"/>
    <w:rsid w:val="003C0F69"/>
    <w:rsid w:val="003D4A46"/>
    <w:rsid w:val="00401B5F"/>
    <w:rsid w:val="00406EF8"/>
    <w:rsid w:val="00413710"/>
    <w:rsid w:val="004323BD"/>
    <w:rsid w:val="00456B2F"/>
    <w:rsid w:val="00457435"/>
    <w:rsid w:val="00481B3D"/>
    <w:rsid w:val="0048512E"/>
    <w:rsid w:val="00497BD1"/>
    <w:rsid w:val="004E48CD"/>
    <w:rsid w:val="004F4BA8"/>
    <w:rsid w:val="004F4C05"/>
    <w:rsid w:val="0051304D"/>
    <w:rsid w:val="005267D8"/>
    <w:rsid w:val="00546938"/>
    <w:rsid w:val="00557EAC"/>
    <w:rsid w:val="005823AC"/>
    <w:rsid w:val="0058436C"/>
    <w:rsid w:val="00586638"/>
    <w:rsid w:val="00590F68"/>
    <w:rsid w:val="00591671"/>
    <w:rsid w:val="005A43BD"/>
    <w:rsid w:val="006158A3"/>
    <w:rsid w:val="00615A6C"/>
    <w:rsid w:val="00617C11"/>
    <w:rsid w:val="006417E0"/>
    <w:rsid w:val="00653A05"/>
    <w:rsid w:val="006543C3"/>
    <w:rsid w:val="00664529"/>
    <w:rsid w:val="006A35AE"/>
    <w:rsid w:val="006B0152"/>
    <w:rsid w:val="006B37BB"/>
    <w:rsid w:val="006C7F9E"/>
    <w:rsid w:val="006D71C0"/>
    <w:rsid w:val="00700534"/>
    <w:rsid w:val="007030AC"/>
    <w:rsid w:val="00726C8C"/>
    <w:rsid w:val="00732713"/>
    <w:rsid w:val="00744ECE"/>
    <w:rsid w:val="00750AE5"/>
    <w:rsid w:val="00751AB4"/>
    <w:rsid w:val="00772DA8"/>
    <w:rsid w:val="00783342"/>
    <w:rsid w:val="00783771"/>
    <w:rsid w:val="007B57D4"/>
    <w:rsid w:val="007C7E6C"/>
    <w:rsid w:val="007D522D"/>
    <w:rsid w:val="008139A4"/>
    <w:rsid w:val="00814CDE"/>
    <w:rsid w:val="00823981"/>
    <w:rsid w:val="00824235"/>
    <w:rsid w:val="00832716"/>
    <w:rsid w:val="00847851"/>
    <w:rsid w:val="00864B18"/>
    <w:rsid w:val="00867E7A"/>
    <w:rsid w:val="008831E2"/>
    <w:rsid w:val="00886907"/>
    <w:rsid w:val="008A4269"/>
    <w:rsid w:val="008B0BF8"/>
    <w:rsid w:val="00901C36"/>
    <w:rsid w:val="00914B18"/>
    <w:rsid w:val="00932FAC"/>
    <w:rsid w:val="00950AB2"/>
    <w:rsid w:val="00957308"/>
    <w:rsid w:val="00964AF4"/>
    <w:rsid w:val="00966ED7"/>
    <w:rsid w:val="009674F4"/>
    <w:rsid w:val="009A21CC"/>
    <w:rsid w:val="009B37FB"/>
    <w:rsid w:val="009D1EB0"/>
    <w:rsid w:val="009E3B38"/>
    <w:rsid w:val="009F4901"/>
    <w:rsid w:val="00A0143C"/>
    <w:rsid w:val="00A07C81"/>
    <w:rsid w:val="00A11421"/>
    <w:rsid w:val="00A1250C"/>
    <w:rsid w:val="00A15CC4"/>
    <w:rsid w:val="00A3734A"/>
    <w:rsid w:val="00A44CF9"/>
    <w:rsid w:val="00A63E19"/>
    <w:rsid w:val="00A814A7"/>
    <w:rsid w:val="00A92683"/>
    <w:rsid w:val="00AA1836"/>
    <w:rsid w:val="00AA74A5"/>
    <w:rsid w:val="00AC2FAC"/>
    <w:rsid w:val="00AE1D33"/>
    <w:rsid w:val="00AF756B"/>
    <w:rsid w:val="00B0214F"/>
    <w:rsid w:val="00B06434"/>
    <w:rsid w:val="00B23BF0"/>
    <w:rsid w:val="00B46CF2"/>
    <w:rsid w:val="00B65EBC"/>
    <w:rsid w:val="00BB31C0"/>
    <w:rsid w:val="00BB7406"/>
    <w:rsid w:val="00BC0611"/>
    <w:rsid w:val="00BF5ADC"/>
    <w:rsid w:val="00C2459F"/>
    <w:rsid w:val="00C417A4"/>
    <w:rsid w:val="00C445D2"/>
    <w:rsid w:val="00C60225"/>
    <w:rsid w:val="00C72560"/>
    <w:rsid w:val="00C77461"/>
    <w:rsid w:val="00C77E4F"/>
    <w:rsid w:val="00CB0080"/>
    <w:rsid w:val="00CB376D"/>
    <w:rsid w:val="00CD3B8C"/>
    <w:rsid w:val="00CF1D60"/>
    <w:rsid w:val="00D153DF"/>
    <w:rsid w:val="00D43E72"/>
    <w:rsid w:val="00D466BB"/>
    <w:rsid w:val="00D87E0F"/>
    <w:rsid w:val="00D9271F"/>
    <w:rsid w:val="00DA2B53"/>
    <w:rsid w:val="00DC44E2"/>
    <w:rsid w:val="00DC51DB"/>
    <w:rsid w:val="00DC69C5"/>
    <w:rsid w:val="00DF469C"/>
    <w:rsid w:val="00DF7F6A"/>
    <w:rsid w:val="00E344D8"/>
    <w:rsid w:val="00E367AC"/>
    <w:rsid w:val="00E509E7"/>
    <w:rsid w:val="00E51A14"/>
    <w:rsid w:val="00E530D0"/>
    <w:rsid w:val="00E5601E"/>
    <w:rsid w:val="00E56FBA"/>
    <w:rsid w:val="00E61638"/>
    <w:rsid w:val="00E64D50"/>
    <w:rsid w:val="00E76CD0"/>
    <w:rsid w:val="00EA79AB"/>
    <w:rsid w:val="00F00E66"/>
    <w:rsid w:val="00F16489"/>
    <w:rsid w:val="00F17373"/>
    <w:rsid w:val="00F43A87"/>
    <w:rsid w:val="00F65C16"/>
    <w:rsid w:val="00F71B78"/>
    <w:rsid w:val="00F76290"/>
    <w:rsid w:val="00F85C50"/>
    <w:rsid w:val="00F85C74"/>
    <w:rsid w:val="00FC5FC2"/>
    <w:rsid w:val="00FD1C4A"/>
    <w:rsid w:val="00FD2812"/>
    <w:rsid w:val="00FD289D"/>
    <w:rsid w:val="00F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565A"/>
  <w15:docId w15:val="{E1D8A4AB-D9DF-442F-A7E4-F585CFA3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130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860D7-7089-4432-B7E8-4D71D3B06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2338</TotalTime>
  <Pages>4</Pages>
  <Words>3228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Tany</cp:lastModifiedBy>
  <cp:revision>116</cp:revision>
  <cp:lastPrinted>2023-08-28T08:47:00Z</cp:lastPrinted>
  <dcterms:created xsi:type="dcterms:W3CDTF">2019-11-25T12:18:00Z</dcterms:created>
  <dcterms:modified xsi:type="dcterms:W3CDTF">2023-10-20T08:52:00Z</dcterms:modified>
</cp:coreProperties>
</file>